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4320" w:hanging="4320"/>
        <w:rPr>
          <w:rFonts w:ascii="Arial Black" w:cs="Arial Black" w:eastAsia="Arial Black" w:hAnsi="Arial Black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sz w:val="36"/>
          <w:szCs w:val="36"/>
          <w:vertAlign w:val="baseline"/>
          <w:rtl w:val="0"/>
        </w:rPr>
        <w:t xml:space="preserve">PROGRAM</w:t>
        <w:tab/>
        <w:t xml:space="preserve">REC/EXP FUNCTION OF OBJECT  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 Black" w:cs="Arial Black" w:eastAsia="Arial Black" w:hAnsi="Arial Black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Sd:  </w:t>
        <w:tab/>
        <w:t xml:space="preserve">(Rec)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“What do you _____ (function) with ?”</w:t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w:rPr>
          <w:b w:val="1"/>
          <w:vertAlign w:val="baseline"/>
          <w:rtl w:val="0"/>
        </w:rPr>
        <w:t xml:space="preserve">(Exp)  “What do you _____ (function) with ?”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 xml:space="preserve">(Exp)  “What do you do with a _____ (object) ?”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Procedure: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(Rec)</w:t>
      </w:r>
      <w:r w:rsidDel="00000000" w:rsidR="00000000" w:rsidRPr="00000000">
        <w:rPr>
          <w:vertAlign w:val="baseline"/>
          <w:rtl w:val="0"/>
        </w:rPr>
        <w:t xml:space="preserve"> While sitting face to face with your child and after establishing attending, deliver Sd, “What do you  ______ with (function)”.  Prompt the child to touch that object using the least intrusive prompt.  Differentially reinforce better responses.  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(Exp)</w:t>
      </w:r>
      <w:r w:rsidDel="00000000" w:rsidR="00000000" w:rsidRPr="00000000">
        <w:rPr>
          <w:vertAlign w:val="baseline"/>
          <w:rtl w:val="0"/>
        </w:rPr>
        <w:t xml:space="preserve"> While sitting face to face with your child and after establishing attending, deliver Sd, “What do you </w:t>
      </w:r>
      <w:r w:rsidDel="00000000" w:rsidR="00000000" w:rsidRPr="00000000">
        <w:rPr>
          <w:i w:val="1"/>
          <w:u w:val="single"/>
          <w:vertAlign w:val="baseline"/>
          <w:rtl w:val="0"/>
        </w:rPr>
        <w:t xml:space="preserve">CUT</w:t>
      </w:r>
      <w:r w:rsidDel="00000000" w:rsidR="00000000" w:rsidRPr="00000000">
        <w:rPr>
          <w:i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with?” (The response is the function) or “What do you do with a </w:t>
      </w:r>
      <w:r w:rsidDel="00000000" w:rsidR="00000000" w:rsidRPr="00000000">
        <w:rPr>
          <w:i w:val="1"/>
          <w:u w:val="single"/>
          <w:vertAlign w:val="baseline"/>
          <w:rtl w:val="0"/>
        </w:rPr>
        <w:t xml:space="preserve">SCISSOR</w:t>
      </w:r>
      <w:r w:rsidDel="00000000" w:rsidR="00000000" w:rsidRPr="00000000">
        <w:rPr>
          <w:vertAlign w:val="baseline"/>
          <w:rtl w:val="0"/>
        </w:rPr>
        <w:t xml:space="preserve"> ?” (The response is the object).  Prompt the child to state the function/object using the least intrusive prompt.  Differentially reinforce better responses.  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Prerequisites:  </w:t>
      </w:r>
      <w:r w:rsidDel="00000000" w:rsidR="00000000" w:rsidRPr="00000000">
        <w:rPr>
          <w:vertAlign w:val="baseline"/>
          <w:rtl w:val="0"/>
        </w:rPr>
        <w:t xml:space="preserve">Follows gross motor imitations, follows fine motor imitates emerging, matches identical objects, follows one step commands, imitates sounds/words, identifies objects and follows verb instructions, labels objects and labels verbs.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Suggestions:  </w:t>
      </w:r>
      <w:r w:rsidDel="00000000" w:rsidR="00000000" w:rsidRPr="00000000">
        <w:rPr>
          <w:vertAlign w:val="baseline"/>
          <w:rtl w:val="0"/>
        </w:rPr>
        <w:t xml:space="preserve">Only use objects that have been mastered in Rec/Exp object/picture id. </w:t>
      </w:r>
    </w:p>
    <w:p w:rsidR="00000000" w:rsidDel="00000000" w:rsidP="00000000" w:rsidRDefault="00000000" w:rsidRPr="00000000" w14:paraId="0000000D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360" w:firstLine="0"/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08"/>
        <w:gridCol w:w="1980"/>
        <w:gridCol w:w="1980"/>
        <w:gridCol w:w="1440"/>
        <w:gridCol w:w="1548"/>
        <w:tblGridChange w:id="0">
          <w:tblGrid>
            <w:gridCol w:w="1908"/>
            <w:gridCol w:w="1980"/>
            <w:gridCol w:w="1980"/>
            <w:gridCol w:w="1440"/>
            <w:gridCol w:w="15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Target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12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14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Mastered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Generalized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1.Write with/pencil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2.Drink from/cup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3.Eat with/fork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4.Cut with/scissor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5.Read/book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6.Sleep in/bed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7.Sit on/chair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8.Talk on/phone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9.Color with/crayon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10.Wash with/soap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11. Blow nose/tissue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12. Throw / ball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13. Brush hair/hair brush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Black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5F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12" Type="http://schemas.openxmlformats.org/officeDocument/2006/relationships/footer" Target="foot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63TxLtJSRJ0u1VVuJeKTFZjE0g==">AMUW2mWMl5mRFovnyflIbeYnhQmbVfWNPFfC8/pJ3H9RztCuuFOM/6SzJQHl3kh9JG2NpPgwtidDZYVbaxhRuF3ltJY6oY8mxMtel317A5FnfVN3ljhD60E=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2015-08-02T15:42:00Z</dcterms:created>
  <dc:creator>Melissa</dc:creator>
</cp:coreProperties>
</file>